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32C5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4EC9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32C5D" w:rsidRPr="00E32C5D">
        <w:rPr>
          <w:rFonts w:ascii="Arial" w:hAnsi="Arial" w:cs="Arial"/>
          <w:sz w:val="20"/>
          <w:szCs w:val="20"/>
        </w:rPr>
        <w:t>Power Engineering Consulting JSC 4</w:t>
      </w:r>
      <w:r w:rsidR="00E32C5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32C5D">
        <w:rPr>
          <w:rFonts w:ascii="Arial" w:hAnsi="Arial" w:cs="Arial"/>
          <w:sz w:val="20"/>
          <w:szCs w:val="20"/>
        </w:rPr>
        <w:t xml:space="preserve"> Approve the report of the Board of Directors i</w:t>
      </w:r>
      <w:r>
        <w:rPr>
          <w:rFonts w:ascii="Arial" w:hAnsi="Arial" w:cs="Arial"/>
          <w:sz w:val="20"/>
          <w:szCs w:val="20"/>
        </w:rPr>
        <w:t>n 2019 and the operation plan for 2020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Pr="00E32C5D">
        <w:rPr>
          <w:rFonts w:ascii="Arial" w:hAnsi="Arial" w:cs="Arial"/>
          <w:sz w:val="20"/>
          <w:szCs w:val="20"/>
        </w:rPr>
        <w:t xml:space="preserve">pprove the report </w:t>
      </w:r>
      <w:r>
        <w:rPr>
          <w:rFonts w:ascii="Arial" w:hAnsi="Arial" w:cs="Arial"/>
          <w:sz w:val="20"/>
          <w:szCs w:val="20"/>
        </w:rPr>
        <w:t xml:space="preserve">of the Management Board </w:t>
      </w:r>
      <w:r w:rsidRPr="00E32C5D">
        <w:rPr>
          <w:rFonts w:ascii="Arial" w:hAnsi="Arial" w:cs="Arial"/>
          <w:sz w:val="20"/>
          <w:szCs w:val="20"/>
        </w:rPr>
        <w:t>on business results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32C5D">
        <w:rPr>
          <w:rFonts w:ascii="Arial" w:hAnsi="Arial" w:cs="Arial"/>
          <w:sz w:val="20"/>
          <w:szCs w:val="20"/>
        </w:rPr>
        <w:t>rticle 3</w:t>
      </w:r>
      <w:r>
        <w:rPr>
          <w:rFonts w:ascii="Arial" w:hAnsi="Arial" w:cs="Arial"/>
          <w:sz w:val="20"/>
          <w:szCs w:val="20"/>
        </w:rPr>
        <w:t>:</w:t>
      </w:r>
      <w:r w:rsidRPr="00E32C5D">
        <w:rPr>
          <w:rFonts w:ascii="Arial" w:hAnsi="Arial" w:cs="Arial"/>
          <w:sz w:val="20"/>
          <w:szCs w:val="20"/>
        </w:rPr>
        <w:t xml:space="preserve"> Approve the report of the Supervisory Board i</w:t>
      </w:r>
      <w:r>
        <w:rPr>
          <w:rFonts w:ascii="Arial" w:hAnsi="Arial" w:cs="Arial"/>
          <w:sz w:val="20"/>
          <w:szCs w:val="20"/>
        </w:rPr>
        <w:t>n 2019 and the operation plan for</w:t>
      </w:r>
      <w:r w:rsidRPr="00E32C5D">
        <w:rPr>
          <w:rFonts w:ascii="Arial" w:hAnsi="Arial" w:cs="Arial"/>
          <w:sz w:val="20"/>
          <w:szCs w:val="20"/>
        </w:rPr>
        <w:t xml:space="preserve"> 2020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E32C5D">
        <w:rPr>
          <w:rFonts w:ascii="Arial" w:hAnsi="Arial" w:cs="Arial"/>
          <w:sz w:val="20"/>
          <w:szCs w:val="20"/>
        </w:rPr>
        <w:t xml:space="preserve"> Approving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E32C5D">
        <w:rPr>
          <w:rFonts w:ascii="Arial" w:hAnsi="Arial" w:cs="Arial"/>
          <w:sz w:val="20"/>
          <w:szCs w:val="20"/>
        </w:rPr>
        <w:t xml:space="preserve">, the production and business results in 2019 with a number of main targets as follows: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- Turnover: </w:t>
      </w:r>
      <w:r>
        <w:rPr>
          <w:rFonts w:ascii="Arial" w:hAnsi="Arial" w:cs="Arial"/>
          <w:sz w:val="20"/>
          <w:szCs w:val="20"/>
        </w:rPr>
        <w:t xml:space="preserve">VND </w:t>
      </w:r>
      <w:r w:rsidRPr="00E32C5D">
        <w:rPr>
          <w:rFonts w:ascii="Arial" w:hAnsi="Arial" w:cs="Arial"/>
          <w:sz w:val="20"/>
          <w:szCs w:val="20"/>
        </w:rPr>
        <w:t xml:space="preserve">208.7 billion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- Profit before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E32C5D">
        <w:rPr>
          <w:rFonts w:ascii="Arial" w:hAnsi="Arial" w:cs="Arial"/>
          <w:sz w:val="20"/>
          <w:szCs w:val="20"/>
        </w:rPr>
        <w:t xml:space="preserve">21.0 billion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- Profit after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E32C5D">
        <w:rPr>
          <w:rFonts w:ascii="Arial" w:hAnsi="Arial" w:cs="Arial"/>
          <w:sz w:val="20"/>
          <w:szCs w:val="20"/>
        </w:rPr>
        <w:t xml:space="preserve">16.9 billion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E32C5D">
        <w:rPr>
          <w:rFonts w:ascii="Arial" w:hAnsi="Arial" w:cs="Arial"/>
          <w:sz w:val="20"/>
          <w:szCs w:val="20"/>
        </w:rPr>
        <w:t xml:space="preserve"> Approve</w:t>
      </w:r>
      <w:r>
        <w:rPr>
          <w:rFonts w:ascii="Arial" w:hAnsi="Arial" w:cs="Arial"/>
          <w:sz w:val="20"/>
          <w:szCs w:val="20"/>
        </w:rPr>
        <w:t xml:space="preserve"> the profit distribution plan for</w:t>
      </w:r>
      <w:r w:rsidRPr="00E32C5D">
        <w:rPr>
          <w:rFonts w:ascii="Arial" w:hAnsi="Arial" w:cs="Arial"/>
          <w:sz w:val="20"/>
          <w:szCs w:val="20"/>
        </w:rPr>
        <w:t xml:space="preserve">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E32C5D" w:rsidTr="00E32C5D">
        <w:tc>
          <w:tcPr>
            <w:tcW w:w="64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36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92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E32C5D" w:rsidTr="00E32C5D">
        <w:tc>
          <w:tcPr>
            <w:tcW w:w="64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on profit distribution for 2019</w:t>
            </w:r>
          </w:p>
        </w:tc>
        <w:tc>
          <w:tcPr>
            <w:tcW w:w="3192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5D">
              <w:rPr>
                <w:rFonts w:ascii="Arial" w:hAnsi="Arial" w:cs="Arial"/>
                <w:sz w:val="20"/>
                <w:szCs w:val="20"/>
              </w:rPr>
              <w:t>17,570,130,953</w:t>
            </w:r>
          </w:p>
        </w:tc>
      </w:tr>
      <w:tr w:rsidR="00E32C5D" w:rsidTr="00E32C5D">
        <w:tc>
          <w:tcPr>
            <w:tcW w:w="64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and Reward Fund for employees</w:t>
            </w:r>
          </w:p>
        </w:tc>
        <w:tc>
          <w:tcPr>
            <w:tcW w:w="3192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5D">
              <w:rPr>
                <w:rFonts w:ascii="Arial" w:hAnsi="Arial" w:cs="Arial"/>
                <w:sz w:val="20"/>
                <w:szCs w:val="20"/>
              </w:rPr>
              <w:t>1,562,308,953</w:t>
            </w:r>
          </w:p>
        </w:tc>
      </w:tr>
      <w:tr w:rsidR="00E32C5D" w:rsidTr="00E32C5D">
        <w:tc>
          <w:tcPr>
            <w:tcW w:w="64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fund to the Management Board </w:t>
            </w:r>
          </w:p>
        </w:tc>
        <w:tc>
          <w:tcPr>
            <w:tcW w:w="3192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5D">
              <w:rPr>
                <w:rFonts w:ascii="Arial" w:hAnsi="Arial" w:cs="Arial"/>
                <w:sz w:val="20"/>
                <w:szCs w:val="20"/>
              </w:rPr>
              <w:t>237,600,000</w:t>
            </w:r>
          </w:p>
        </w:tc>
      </w:tr>
      <w:tr w:rsidR="00E32C5D" w:rsidTr="00E32C5D">
        <w:tc>
          <w:tcPr>
            <w:tcW w:w="64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(10%)</w:t>
            </w:r>
          </w:p>
        </w:tc>
        <w:tc>
          <w:tcPr>
            <w:tcW w:w="3192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5D">
              <w:rPr>
                <w:rFonts w:ascii="Arial" w:hAnsi="Arial" w:cs="Arial"/>
                <w:sz w:val="20"/>
                <w:szCs w:val="20"/>
              </w:rPr>
              <w:t>15,770,222,000</w:t>
            </w:r>
          </w:p>
        </w:tc>
      </w:tr>
    </w:tbl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plan on operation plan for 2020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E32C5D" w:rsidTr="00E32C5D">
        <w:tc>
          <w:tcPr>
            <w:tcW w:w="46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20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E32C5D" w:rsidTr="00E32C5D">
        <w:tc>
          <w:tcPr>
            <w:tcW w:w="46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233.7</w:t>
            </w:r>
          </w:p>
        </w:tc>
      </w:tr>
      <w:tr w:rsidR="00E32C5D" w:rsidTr="00E32C5D">
        <w:tc>
          <w:tcPr>
            <w:tcW w:w="46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</w:tr>
      <w:tr w:rsidR="00E32C5D" w:rsidTr="00E32C5D">
        <w:tc>
          <w:tcPr>
            <w:tcW w:w="468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:rsidR="00E32C5D" w:rsidRDefault="00E32C5D" w:rsidP="00E32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</w:t>
      </w:r>
      <w:r w:rsidRPr="00E32C5D">
        <w:rPr>
          <w:rFonts w:ascii="Arial" w:hAnsi="Arial" w:cs="Arial"/>
          <w:sz w:val="20"/>
          <w:szCs w:val="20"/>
        </w:rPr>
        <w:t xml:space="preserve"> Approval of profit distribution plan for 2020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payment: 11% of charter capital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Extracting to the </w:t>
      </w:r>
      <w:r w:rsidRPr="00E32C5D">
        <w:rPr>
          <w:rFonts w:ascii="Arial" w:hAnsi="Arial" w:cs="Arial"/>
          <w:sz w:val="20"/>
          <w:szCs w:val="20"/>
        </w:rPr>
        <w:t xml:space="preserve">reward and welfare fund </w:t>
      </w:r>
      <w:r>
        <w:rPr>
          <w:rFonts w:ascii="Arial" w:hAnsi="Arial" w:cs="Arial"/>
          <w:sz w:val="20"/>
          <w:szCs w:val="20"/>
        </w:rPr>
        <w:t xml:space="preserve">for employees </w:t>
      </w:r>
      <w:r w:rsidRPr="00E32C5D">
        <w:rPr>
          <w:rFonts w:ascii="Arial" w:hAnsi="Arial" w:cs="Arial"/>
          <w:sz w:val="20"/>
          <w:szCs w:val="20"/>
        </w:rPr>
        <w:t>at least 2% and a maximum of 10% of profit after tax in 2020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Extracting to the reward fund to managers</w:t>
      </w:r>
      <w:r w:rsidRPr="00E32C5D">
        <w:rPr>
          <w:rFonts w:ascii="Arial" w:hAnsi="Arial" w:cs="Arial"/>
          <w:sz w:val="20"/>
          <w:szCs w:val="20"/>
        </w:rPr>
        <w:t xml:space="preserve"> according to the provisions of Clause 2, Article 18 of Circular </w:t>
      </w:r>
      <w:r>
        <w:rPr>
          <w:rFonts w:ascii="Arial" w:hAnsi="Arial" w:cs="Arial"/>
          <w:sz w:val="20"/>
          <w:szCs w:val="20"/>
        </w:rPr>
        <w:t xml:space="preserve">No.28/2016/TT-BLDTBXH dated </w:t>
      </w:r>
      <w:r w:rsidRPr="00E32C5D">
        <w:rPr>
          <w:rFonts w:ascii="Arial" w:hAnsi="Arial" w:cs="Arial"/>
          <w:sz w:val="20"/>
          <w:szCs w:val="20"/>
        </w:rPr>
        <w:t>September 1, 2016 of the Ministry of Labor, Wa</w:t>
      </w:r>
      <w:r>
        <w:rPr>
          <w:rFonts w:ascii="Arial" w:hAnsi="Arial" w:cs="Arial"/>
          <w:sz w:val="20"/>
          <w:szCs w:val="20"/>
        </w:rPr>
        <w:t>r Invalids and Social Affairs</w:t>
      </w:r>
    </w:p>
    <w:p w:rsidR="00DE00E9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>Article 8</w:t>
      </w:r>
      <w:r>
        <w:rPr>
          <w:rFonts w:ascii="Arial" w:hAnsi="Arial" w:cs="Arial"/>
          <w:sz w:val="20"/>
          <w:szCs w:val="20"/>
        </w:rPr>
        <w:t>:</w:t>
      </w:r>
      <w:r w:rsidRPr="00E32C5D">
        <w:rPr>
          <w:rFonts w:ascii="Arial" w:hAnsi="Arial" w:cs="Arial"/>
          <w:sz w:val="20"/>
          <w:szCs w:val="20"/>
        </w:rPr>
        <w:t xml:space="preserve"> Approving remuneration of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="00DE00E9">
        <w:rPr>
          <w:rFonts w:ascii="Arial" w:hAnsi="Arial" w:cs="Arial"/>
          <w:sz w:val="20"/>
          <w:szCs w:val="20"/>
        </w:rPr>
        <w:t>, p</w:t>
      </w:r>
      <w:r w:rsidRPr="00E32C5D">
        <w:rPr>
          <w:rFonts w:ascii="Arial" w:hAnsi="Arial" w:cs="Arial"/>
          <w:sz w:val="20"/>
          <w:szCs w:val="20"/>
        </w:rPr>
        <w:t xml:space="preserve">erson in charge of corporate governance </w:t>
      </w:r>
      <w:r w:rsidR="00DE00E9">
        <w:rPr>
          <w:rFonts w:ascii="Arial" w:hAnsi="Arial" w:cs="Arial"/>
          <w:sz w:val="20"/>
          <w:szCs w:val="20"/>
        </w:rPr>
        <w:t>of the Company</w:t>
      </w:r>
    </w:p>
    <w:p w:rsidR="00DE00E9" w:rsidRDefault="00DE00E9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2019:</w:t>
      </w:r>
    </w:p>
    <w:p w:rsidR="00DE00E9" w:rsidRDefault="00DE00E9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for </w:t>
      </w:r>
      <w:r w:rsidR="00E32C5D" w:rsidRPr="00E32C5D">
        <w:rPr>
          <w:rFonts w:ascii="Arial" w:hAnsi="Arial" w:cs="Arial"/>
          <w:sz w:val="20"/>
          <w:szCs w:val="20"/>
        </w:rPr>
        <w:t xml:space="preserve">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="00E32C5D" w:rsidRPr="00E32C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Pr="00E32C5D">
        <w:rPr>
          <w:rFonts w:ascii="Arial" w:hAnsi="Arial" w:cs="Arial"/>
          <w:sz w:val="20"/>
          <w:szCs w:val="20"/>
        </w:rPr>
        <w:t xml:space="preserve">erson in charge of corporate governance </w:t>
      </w:r>
      <w:r>
        <w:rPr>
          <w:rFonts w:ascii="Arial" w:hAnsi="Arial" w:cs="Arial"/>
          <w:sz w:val="20"/>
          <w:szCs w:val="20"/>
        </w:rPr>
        <w:t xml:space="preserve">of the Company </w:t>
      </w:r>
      <w:r w:rsidR="00E32C5D" w:rsidRPr="00E32C5D">
        <w:rPr>
          <w:rFonts w:ascii="Arial" w:hAnsi="Arial" w:cs="Arial"/>
          <w:sz w:val="20"/>
          <w:szCs w:val="20"/>
        </w:rPr>
        <w:t xml:space="preserve">in 2019: </w:t>
      </w:r>
    </w:p>
    <w:p w:rsidR="00321BEF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>Total remuneration</w:t>
      </w:r>
      <w:r w:rsidR="00321BEF">
        <w:rPr>
          <w:rFonts w:ascii="Arial" w:hAnsi="Arial" w:cs="Arial"/>
          <w:sz w:val="20"/>
          <w:szCs w:val="20"/>
        </w:rPr>
        <w:t xml:space="preserve"> fund in the plan</w:t>
      </w:r>
      <w:r w:rsidRPr="00E32C5D">
        <w:rPr>
          <w:rFonts w:ascii="Arial" w:hAnsi="Arial" w:cs="Arial"/>
          <w:sz w:val="20"/>
          <w:szCs w:val="20"/>
        </w:rPr>
        <w:t xml:space="preserve">: </w:t>
      </w:r>
      <w:r w:rsidR="00321BEF">
        <w:rPr>
          <w:rFonts w:ascii="Arial" w:hAnsi="Arial" w:cs="Arial"/>
          <w:sz w:val="20"/>
          <w:szCs w:val="20"/>
        </w:rPr>
        <w:t xml:space="preserve">VND </w:t>
      </w:r>
      <w:r w:rsidRPr="00E32C5D">
        <w:rPr>
          <w:rFonts w:ascii="Arial" w:hAnsi="Arial" w:cs="Arial"/>
          <w:sz w:val="20"/>
          <w:szCs w:val="20"/>
        </w:rPr>
        <w:t xml:space="preserve">407,040,000 </w:t>
      </w:r>
    </w:p>
    <w:p w:rsidR="00321BEF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>Total remuneration fund</w:t>
      </w:r>
      <w:r w:rsidR="00321BEF">
        <w:rPr>
          <w:rFonts w:ascii="Arial" w:hAnsi="Arial" w:cs="Arial"/>
          <w:sz w:val="20"/>
          <w:szCs w:val="20"/>
        </w:rPr>
        <w:t xml:space="preserve"> realized</w:t>
      </w:r>
      <w:r w:rsidRPr="00E32C5D">
        <w:rPr>
          <w:rFonts w:ascii="Arial" w:hAnsi="Arial" w:cs="Arial"/>
          <w:sz w:val="20"/>
          <w:szCs w:val="20"/>
        </w:rPr>
        <w:t xml:space="preserve">: </w:t>
      </w:r>
      <w:r w:rsidR="00321BEF">
        <w:rPr>
          <w:rFonts w:ascii="Arial" w:hAnsi="Arial" w:cs="Arial"/>
          <w:sz w:val="20"/>
          <w:szCs w:val="20"/>
        </w:rPr>
        <w:t xml:space="preserve">VND </w:t>
      </w:r>
      <w:r w:rsidRPr="00E32C5D">
        <w:rPr>
          <w:rFonts w:ascii="Arial" w:hAnsi="Arial" w:cs="Arial"/>
          <w:sz w:val="20"/>
          <w:szCs w:val="20"/>
        </w:rPr>
        <w:t xml:space="preserve">248,520,000 </w:t>
      </w:r>
    </w:p>
    <w:p w:rsidR="00321BEF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In 2020: </w:t>
      </w:r>
    </w:p>
    <w:p w:rsidR="00E32C5D" w:rsidRDefault="00E32C5D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 xml:space="preserve">Remuneration of the Board of Directors, Supervisory Board and the person in charge of corporate governance in 2020 </w:t>
      </w:r>
      <w:r w:rsidR="00321BEF">
        <w:rPr>
          <w:rFonts w:ascii="Arial" w:hAnsi="Arial" w:cs="Arial"/>
          <w:sz w:val="20"/>
          <w:szCs w:val="20"/>
        </w:rPr>
        <w:t>are entitled to the following rate:</w:t>
      </w:r>
    </w:p>
    <w:p w:rsidR="00321BEF" w:rsidRDefault="00321BEF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Member of the Board of Directors: VND 6,000,000/ month</w:t>
      </w:r>
    </w:p>
    <w:p w:rsidR="00321BEF" w:rsidRDefault="00321BEF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Member of the Supervisor Board: VND 4,000,000/ month</w:t>
      </w:r>
    </w:p>
    <w:p w:rsidR="00321BEF" w:rsidRDefault="00321BEF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Person in charge of the corporate governance: VND 2</w:t>
      </w:r>
      <w:r>
        <w:rPr>
          <w:rFonts w:ascii="Arial" w:hAnsi="Arial" w:cs="Arial"/>
          <w:sz w:val="20"/>
          <w:szCs w:val="20"/>
        </w:rPr>
        <w:t>,000,000/ month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C5D">
        <w:rPr>
          <w:rFonts w:ascii="Arial" w:hAnsi="Arial" w:cs="Arial"/>
          <w:sz w:val="20"/>
          <w:szCs w:val="20"/>
        </w:rPr>
        <w:t>Total remuneration</w:t>
      </w:r>
      <w:r>
        <w:rPr>
          <w:rFonts w:ascii="Arial" w:hAnsi="Arial" w:cs="Arial"/>
          <w:sz w:val="20"/>
          <w:szCs w:val="20"/>
        </w:rPr>
        <w:t xml:space="preserve"> fund in the plan</w:t>
      </w:r>
      <w:r w:rsidRPr="00E32C5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264,000,000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Pr="00321BEF">
        <w:rPr>
          <w:rFonts w:ascii="Arial" w:hAnsi="Arial" w:cs="Arial"/>
          <w:sz w:val="20"/>
          <w:szCs w:val="20"/>
        </w:rPr>
        <w:t xml:space="preserve"> Agree to authorize the Board of Directors of the Compa</w:t>
      </w:r>
      <w:r>
        <w:rPr>
          <w:rFonts w:ascii="Arial" w:hAnsi="Arial" w:cs="Arial"/>
          <w:sz w:val="20"/>
          <w:szCs w:val="20"/>
        </w:rPr>
        <w:t>ny to decide selection of an</w:t>
      </w:r>
      <w:r w:rsidRPr="00321BEF">
        <w:rPr>
          <w:rFonts w:ascii="Arial" w:hAnsi="Arial" w:cs="Arial"/>
          <w:sz w:val="20"/>
          <w:szCs w:val="20"/>
        </w:rPr>
        <w:t xml:space="preserve"> auditing unit with experience and competence in the list approved by the Ministry of Finance based on the proposal of the </w:t>
      </w:r>
      <w:r>
        <w:rPr>
          <w:rFonts w:ascii="Arial" w:hAnsi="Arial" w:cs="Arial"/>
          <w:sz w:val="20"/>
          <w:szCs w:val="20"/>
        </w:rPr>
        <w:t xml:space="preserve">Supervisor Board to audit the financial statement </w:t>
      </w:r>
      <w:r w:rsidRPr="00321BEF">
        <w:rPr>
          <w:rFonts w:ascii="Arial" w:hAnsi="Arial" w:cs="Arial"/>
          <w:sz w:val="20"/>
          <w:szCs w:val="20"/>
        </w:rPr>
        <w:t xml:space="preserve">of 2020 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Pr="00321BEF">
        <w:rPr>
          <w:rFonts w:ascii="Arial" w:hAnsi="Arial" w:cs="Arial"/>
          <w:sz w:val="20"/>
          <w:szCs w:val="20"/>
        </w:rPr>
        <w:t xml:space="preserve">Approving the election results: 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21BEF">
        <w:rPr>
          <w:rFonts w:ascii="Arial" w:hAnsi="Arial" w:cs="Arial"/>
          <w:sz w:val="20"/>
          <w:szCs w:val="20"/>
        </w:rPr>
        <w:t xml:space="preserve">Mr. Le Cao </w:t>
      </w:r>
      <w:proofErr w:type="spellStart"/>
      <w:r w:rsidRPr="00321BEF">
        <w:rPr>
          <w:rFonts w:ascii="Arial" w:hAnsi="Arial" w:cs="Arial"/>
          <w:sz w:val="20"/>
          <w:szCs w:val="20"/>
        </w:rPr>
        <w:t>Quyen</w:t>
      </w:r>
      <w:proofErr w:type="spellEnd"/>
      <w:r w:rsidRPr="00321BEF">
        <w:rPr>
          <w:rFonts w:ascii="Arial" w:hAnsi="Arial" w:cs="Arial"/>
          <w:sz w:val="20"/>
          <w:szCs w:val="20"/>
        </w:rPr>
        <w:t xml:space="preserve"> is elected as a member of the Board of Direc</w:t>
      </w:r>
      <w:r>
        <w:rPr>
          <w:rFonts w:ascii="Arial" w:hAnsi="Arial" w:cs="Arial"/>
          <w:sz w:val="20"/>
          <w:szCs w:val="20"/>
        </w:rPr>
        <w:t>tors for the term of 2017-2022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BEF">
        <w:rPr>
          <w:rFonts w:ascii="Arial" w:hAnsi="Arial" w:cs="Arial"/>
          <w:sz w:val="20"/>
          <w:szCs w:val="20"/>
        </w:rPr>
        <w:t>- Dismissing me</w:t>
      </w:r>
      <w:r>
        <w:rPr>
          <w:rFonts w:ascii="Arial" w:hAnsi="Arial" w:cs="Arial"/>
          <w:sz w:val="20"/>
          <w:szCs w:val="20"/>
        </w:rPr>
        <w:t>mber of the Supervisory Board for</w:t>
      </w:r>
      <w:r w:rsidRPr="00321BEF">
        <w:rPr>
          <w:rFonts w:ascii="Arial" w:hAnsi="Arial" w:cs="Arial"/>
          <w:sz w:val="20"/>
          <w:szCs w:val="20"/>
        </w:rPr>
        <w:t xml:space="preserve"> Mr. Tran </w:t>
      </w:r>
      <w:proofErr w:type="spellStart"/>
      <w:r w:rsidRPr="00321BEF">
        <w:rPr>
          <w:rFonts w:ascii="Arial" w:hAnsi="Arial" w:cs="Arial"/>
          <w:sz w:val="20"/>
          <w:szCs w:val="20"/>
        </w:rPr>
        <w:t>Vinh</w:t>
      </w:r>
      <w:proofErr w:type="spellEnd"/>
      <w:r w:rsidRPr="00321BEF">
        <w:rPr>
          <w:rFonts w:ascii="Arial" w:hAnsi="Arial" w:cs="Arial"/>
          <w:sz w:val="20"/>
          <w:szCs w:val="20"/>
        </w:rPr>
        <w:t xml:space="preserve"> Thai 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21BEF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Pr="00321BEF">
        <w:rPr>
          <w:rFonts w:ascii="Arial" w:hAnsi="Arial" w:cs="Arial"/>
          <w:sz w:val="20"/>
          <w:szCs w:val="20"/>
        </w:rPr>
        <w:t>Thi</w:t>
      </w:r>
      <w:proofErr w:type="spellEnd"/>
      <w:r w:rsidRPr="00321BEF">
        <w:rPr>
          <w:rFonts w:ascii="Arial" w:hAnsi="Arial" w:cs="Arial"/>
          <w:sz w:val="20"/>
          <w:szCs w:val="20"/>
        </w:rPr>
        <w:t xml:space="preserve"> Hai Yen was elected as a member of the Supervisory </w:t>
      </w:r>
      <w:r>
        <w:rPr>
          <w:rFonts w:ascii="Arial" w:hAnsi="Arial" w:cs="Arial"/>
          <w:sz w:val="20"/>
          <w:szCs w:val="20"/>
        </w:rPr>
        <w:t>Board for the term of 2017-2022</w:t>
      </w:r>
    </w:p>
    <w:p w:rsidR="001F7C8E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</w:t>
      </w:r>
      <w:r w:rsidRPr="00321BEF">
        <w:rPr>
          <w:rFonts w:ascii="Arial" w:hAnsi="Arial" w:cs="Arial"/>
          <w:sz w:val="20"/>
          <w:szCs w:val="20"/>
        </w:rPr>
        <w:t xml:space="preserve">Adopting the internal Regulation on management of </w:t>
      </w:r>
      <w:r w:rsidR="001F7C8E" w:rsidRPr="001F7C8E">
        <w:rPr>
          <w:rFonts w:ascii="Arial" w:hAnsi="Arial" w:cs="Arial"/>
          <w:sz w:val="20"/>
          <w:szCs w:val="20"/>
        </w:rPr>
        <w:t>Power Engineering Consulting JSC 4</w:t>
      </w:r>
    </w:p>
    <w:p w:rsidR="001F7C8E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BEF">
        <w:rPr>
          <w:rFonts w:ascii="Arial" w:hAnsi="Arial" w:cs="Arial"/>
          <w:sz w:val="20"/>
          <w:szCs w:val="20"/>
        </w:rPr>
        <w:t>Article 12</w:t>
      </w:r>
      <w:r w:rsidR="001F7C8E">
        <w:rPr>
          <w:rFonts w:ascii="Arial" w:hAnsi="Arial" w:cs="Arial"/>
          <w:sz w:val="20"/>
          <w:szCs w:val="20"/>
        </w:rPr>
        <w:t>:</w:t>
      </w:r>
      <w:r w:rsidRPr="00321BEF">
        <w:rPr>
          <w:rFonts w:ascii="Arial" w:hAnsi="Arial" w:cs="Arial"/>
          <w:sz w:val="20"/>
          <w:szCs w:val="20"/>
        </w:rPr>
        <w:t xml:space="preserve"> Implementation provisions </w:t>
      </w:r>
    </w:p>
    <w:p w:rsidR="00321BEF" w:rsidRDefault="00321BEF" w:rsidP="00321B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BEF">
        <w:rPr>
          <w:rFonts w:ascii="Arial" w:hAnsi="Arial" w:cs="Arial"/>
          <w:sz w:val="20"/>
          <w:szCs w:val="20"/>
        </w:rPr>
        <w:lastRenderedPageBreak/>
        <w:t xml:space="preserve">This </w:t>
      </w:r>
      <w:r w:rsidR="001F7C8E">
        <w:rPr>
          <w:rFonts w:ascii="Arial" w:hAnsi="Arial" w:cs="Arial"/>
          <w:sz w:val="20"/>
          <w:szCs w:val="20"/>
        </w:rPr>
        <w:t>annual General Mandate</w:t>
      </w:r>
      <w:r w:rsidRPr="00321BEF">
        <w:rPr>
          <w:rFonts w:ascii="Arial" w:hAnsi="Arial" w:cs="Arial"/>
          <w:sz w:val="20"/>
          <w:szCs w:val="20"/>
        </w:rPr>
        <w:t xml:space="preserve"> takes effect from the signing date. The </w:t>
      </w:r>
      <w:r w:rsidR="001F7C8E">
        <w:rPr>
          <w:rFonts w:ascii="Arial" w:hAnsi="Arial" w:cs="Arial"/>
          <w:sz w:val="20"/>
          <w:szCs w:val="20"/>
        </w:rPr>
        <w:t>annual General Meeting of Shareholders assigns</w:t>
      </w:r>
      <w:r w:rsidRPr="00321BEF">
        <w:rPr>
          <w:rFonts w:ascii="Arial" w:hAnsi="Arial" w:cs="Arial"/>
          <w:sz w:val="20"/>
          <w:szCs w:val="20"/>
        </w:rPr>
        <w:t xml:space="preserve"> the Board of Directors, Supervisory Board, and </w:t>
      </w:r>
      <w:r w:rsidR="001F7C8E">
        <w:rPr>
          <w:rFonts w:ascii="Arial" w:hAnsi="Arial" w:cs="Arial"/>
          <w:sz w:val="20"/>
          <w:szCs w:val="20"/>
        </w:rPr>
        <w:t>Management Board</w:t>
      </w:r>
      <w:r w:rsidRPr="00321BEF">
        <w:rPr>
          <w:rFonts w:ascii="Arial" w:hAnsi="Arial" w:cs="Arial"/>
          <w:sz w:val="20"/>
          <w:szCs w:val="20"/>
        </w:rPr>
        <w:t xml:space="preserve"> to implement this </w:t>
      </w:r>
      <w:r w:rsidR="001F7C8E">
        <w:rPr>
          <w:rFonts w:ascii="Arial" w:hAnsi="Arial" w:cs="Arial"/>
          <w:sz w:val="20"/>
          <w:szCs w:val="20"/>
        </w:rPr>
        <w:t xml:space="preserve">annual General Mandate </w:t>
      </w:r>
    </w:p>
    <w:p w:rsidR="00321BEF" w:rsidRDefault="00321BEF" w:rsidP="00E32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2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C8E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7464D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1BEF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67E8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2603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152BC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D7ABE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3651F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00E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2C5D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C618B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1B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329</cp:revision>
  <dcterms:created xsi:type="dcterms:W3CDTF">2019-10-16T10:03:00Z</dcterms:created>
  <dcterms:modified xsi:type="dcterms:W3CDTF">2020-07-04T12:40:00Z</dcterms:modified>
</cp:coreProperties>
</file>